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196" w:rsidRPr="003A5A4E" w:rsidRDefault="00CA791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A5A4E">
        <w:rPr>
          <w:rFonts w:ascii="Times New Roman" w:hAnsi="Times New Roman" w:cs="Times New Roman"/>
          <w:b/>
          <w:bCs/>
        </w:rPr>
        <w:t>ALAPÍTÓ</w:t>
      </w:r>
      <w:r w:rsidR="00902BEC" w:rsidRPr="003A5A4E">
        <w:rPr>
          <w:rFonts w:ascii="Times New Roman" w:hAnsi="Times New Roman" w:cs="Times New Roman"/>
          <w:b/>
          <w:bCs/>
        </w:rPr>
        <w:t xml:space="preserve"> </w:t>
      </w:r>
      <w:r w:rsidRPr="003A5A4E">
        <w:rPr>
          <w:rFonts w:ascii="Times New Roman" w:hAnsi="Times New Roman" w:cs="Times New Roman"/>
          <w:b/>
          <w:bCs/>
        </w:rPr>
        <w:t>OKIRAT</w:t>
      </w:r>
    </w:p>
    <w:p w:rsidR="00044196" w:rsidRPr="003A5A4E" w:rsidRDefault="00044196">
      <w:pPr>
        <w:pStyle w:val="Standard"/>
        <w:rPr>
          <w:rFonts w:ascii="Times New Roman" w:hAnsi="Times New Roman" w:cs="Times New Roman"/>
        </w:rPr>
      </w:pP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Alulírott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Lélek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Jelenlét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létrehozása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érdekében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alábbi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Okiratot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fogadjuk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Textbody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abból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készült,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Polgári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Törvénykönyvről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szóló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2013.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V.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(a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továbbiakban: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Ptk.)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3:378.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3:404.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§-ai,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2011.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CLXXV.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F018C3"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hozzanak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létre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felismervén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Katolikus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tartozó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egyetemista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fiatalok,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hozzátartozóik,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egyetemi/főiskolai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oktatók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formában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nagyobb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mértékben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tudják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elősegíteni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szociális-karitatív,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kulturális,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vallási,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szabadidős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sport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tevékenységet.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nyitott,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ahhoz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felajánlott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összegnek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számlájára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történő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befizetésével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külföldi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természetes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személyek,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intézetek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intézmények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egyaránt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csatlakozhatnak.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megvalósításához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eszközök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átadásával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csatlakozni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lehet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Alapítványhoz.</w:t>
      </w:r>
    </w:p>
    <w:p w:rsidR="00044196" w:rsidRPr="003A5A4E" w:rsidRDefault="00044196">
      <w:pPr>
        <w:pStyle w:val="Textbody"/>
        <w:rPr>
          <w:rFonts w:ascii="Times New Roman" w:hAnsi="Times New Roman" w:cs="Times New Roman"/>
        </w:rPr>
      </w:pPr>
    </w:p>
    <w:p w:rsidR="00044196" w:rsidRPr="003A5A4E" w:rsidRDefault="00CA791E">
      <w:pPr>
        <w:pStyle w:val="Textbody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neve: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ab/>
      </w:r>
      <w:r w:rsidRPr="003A5A4E">
        <w:rPr>
          <w:rFonts w:ascii="Times New Roman" w:hAnsi="Times New Roman" w:cs="Times New Roman"/>
        </w:rPr>
        <w:tab/>
        <w:t>Lélek-Jelenlét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</w:p>
    <w:p w:rsidR="00044196" w:rsidRPr="003A5A4E" w:rsidRDefault="00CA791E">
      <w:pPr>
        <w:pStyle w:val="Textbody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székhelye:</w:t>
      </w:r>
      <w:r w:rsidR="00902BEC" w:rsidRPr="003A5A4E">
        <w:rPr>
          <w:rFonts w:ascii="Times New Roman" w:hAnsi="Times New Roman" w:cs="Times New Roman"/>
        </w:rPr>
        <w:t xml:space="preserve"> </w:t>
      </w:r>
      <w:r w:rsidR="002F14DA">
        <w:rPr>
          <w:rFonts w:ascii="Times New Roman" w:hAnsi="Times New Roman" w:cs="Times New Roman"/>
        </w:rPr>
        <w:tab/>
      </w:r>
      <w:r w:rsidRPr="003A5A4E">
        <w:rPr>
          <w:rFonts w:ascii="Times New Roman" w:hAnsi="Times New Roman" w:cs="Times New Roman"/>
        </w:rPr>
        <w:t>6720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Dugonics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tér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12.</w:t>
      </w:r>
    </w:p>
    <w:p w:rsidR="00044196" w:rsidRPr="003A5A4E" w:rsidRDefault="00044196">
      <w:pPr>
        <w:pStyle w:val="Textbody"/>
        <w:rPr>
          <w:rFonts w:ascii="Times New Roman" w:hAnsi="Times New Roman" w:cs="Times New Roman"/>
        </w:rPr>
      </w:pPr>
    </w:p>
    <w:p w:rsidR="00044196" w:rsidRPr="003A5A4E" w:rsidRDefault="00CA791E">
      <w:pPr>
        <w:pStyle w:val="Textbody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természetbeni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székhelyét,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Belvárosi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r.k.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Plébánia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tulajdonát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képezi,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külön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székhelybiztosító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nyilatkozat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használja.</w:t>
      </w:r>
    </w:p>
    <w:p w:rsidR="00044196" w:rsidRPr="003A5A4E" w:rsidRDefault="00044196">
      <w:pPr>
        <w:pStyle w:val="Textbody"/>
        <w:rPr>
          <w:rFonts w:ascii="Times New Roman" w:hAnsi="Times New Roman" w:cs="Times New Roman"/>
        </w:rPr>
      </w:pPr>
    </w:p>
    <w:p w:rsidR="00044196" w:rsidRPr="003A5A4E" w:rsidRDefault="00CA791E">
      <w:pPr>
        <w:pStyle w:val="Textbody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alapítók:</w:t>
      </w:r>
    </w:p>
    <w:p w:rsidR="00044196" w:rsidRPr="003A5A4E" w:rsidRDefault="00CA791E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Csiszár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Imre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(</w:t>
      </w:r>
      <w:r w:rsidRPr="00CA3D3D">
        <w:rPr>
          <w:rFonts w:ascii="Times New Roman" w:hAnsi="Times New Roman" w:cs="Times New Roman"/>
          <w:color w:val="FFFFFF" w:themeColor="background1"/>
        </w:rPr>
        <w:t>szül.: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Győr,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1972.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08.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29.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a.n.: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Vigner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Magdolna,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adóazonosító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jel: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8385910948)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6725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Szeged,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Alkony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u.</w:t>
      </w:r>
      <w:r w:rsidR="00902BEC" w:rsidRPr="00CA3D3D">
        <w:rPr>
          <w:rFonts w:ascii="Times New Roman" w:hAnsi="Times New Roman" w:cs="Times New Roman"/>
          <w:color w:val="FFFFFF" w:themeColor="background1"/>
        </w:rPr>
        <w:t xml:space="preserve"> </w:t>
      </w:r>
      <w:r w:rsidRPr="00CA3D3D">
        <w:rPr>
          <w:rFonts w:ascii="Times New Roman" w:hAnsi="Times New Roman" w:cs="Times New Roman"/>
          <w:color w:val="FFFFFF" w:themeColor="background1"/>
        </w:rPr>
        <w:t>10/B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alatti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lakos.</w:t>
      </w:r>
    </w:p>
    <w:p w:rsidR="00044196" w:rsidRPr="003A5A4E" w:rsidRDefault="00F018C3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Krabót-</w:t>
      </w:r>
      <w:r w:rsidR="00CA791E" w:rsidRPr="003A5A4E">
        <w:rPr>
          <w:rFonts w:ascii="Times New Roman" w:hAnsi="Times New Roman" w:cs="Times New Roman"/>
        </w:rPr>
        <w:t>Hóbár</w:t>
      </w:r>
      <w:r w:rsidR="00902BEC" w:rsidRPr="003A5A4E">
        <w:rPr>
          <w:rFonts w:ascii="Times New Roman" w:hAnsi="Times New Roman" w:cs="Times New Roman"/>
        </w:rPr>
        <w:t xml:space="preserve"> </w:t>
      </w:r>
      <w:r w:rsidR="00CA791E" w:rsidRPr="003A5A4E">
        <w:rPr>
          <w:rFonts w:ascii="Times New Roman" w:hAnsi="Times New Roman" w:cs="Times New Roman"/>
        </w:rPr>
        <w:t>Ágnes</w:t>
      </w:r>
      <w:r w:rsidR="00902BEC" w:rsidRPr="003A5A4E">
        <w:rPr>
          <w:rFonts w:ascii="Times New Roman" w:hAnsi="Times New Roman" w:cs="Times New Roman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(szül.: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Zalaegerszeg,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1976.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12.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21.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a.n.: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Tuboly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Teréz,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adóazonosító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jel: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8401660483)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6754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Újszentiván,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Árpád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u.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B21102">
        <w:rPr>
          <w:rFonts w:ascii="Times New Roman" w:hAnsi="Times New Roman" w:cs="Times New Roman"/>
          <w:color w:val="FFFFFF" w:themeColor="background1"/>
        </w:rPr>
        <w:t>37.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CA791E" w:rsidRPr="003A5A4E">
        <w:rPr>
          <w:rFonts w:ascii="Times New Roman" w:hAnsi="Times New Roman" w:cs="Times New Roman"/>
        </w:rPr>
        <w:t>sz.</w:t>
      </w:r>
      <w:r w:rsidR="00902BEC" w:rsidRPr="003A5A4E">
        <w:rPr>
          <w:rFonts w:ascii="Times New Roman" w:hAnsi="Times New Roman" w:cs="Times New Roman"/>
        </w:rPr>
        <w:t xml:space="preserve"> </w:t>
      </w:r>
      <w:r w:rsidR="00CA791E" w:rsidRPr="003A5A4E">
        <w:rPr>
          <w:rFonts w:ascii="Times New Roman" w:hAnsi="Times New Roman" w:cs="Times New Roman"/>
        </w:rPr>
        <w:t>alatti</w:t>
      </w:r>
      <w:r w:rsidR="00902BEC" w:rsidRPr="003A5A4E">
        <w:rPr>
          <w:rFonts w:ascii="Times New Roman" w:hAnsi="Times New Roman" w:cs="Times New Roman"/>
        </w:rPr>
        <w:t xml:space="preserve"> </w:t>
      </w:r>
      <w:r w:rsidR="00CA791E" w:rsidRPr="003A5A4E">
        <w:rPr>
          <w:rFonts w:ascii="Times New Roman" w:hAnsi="Times New Roman" w:cs="Times New Roman"/>
        </w:rPr>
        <w:t>lakos.</w:t>
      </w:r>
    </w:p>
    <w:p w:rsidR="00044196" w:rsidRPr="003A5A4E" w:rsidRDefault="00CA791E">
      <w:pPr>
        <w:pStyle w:val="Textbod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Hortobágyi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Attila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(szül.: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Szombathely,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1975.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12.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19.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a.n.: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Szeli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Klára,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adóazonosító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color w:val="FFFFFF" w:themeColor="background1"/>
        </w:rPr>
        <w:t>jel: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8397980660)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6720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Szeged,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Roosevelt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tér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="00F018C3" w:rsidRPr="00B21102">
        <w:rPr>
          <w:rFonts w:ascii="Times New Roman" w:hAnsi="Times New Roman" w:cs="Times New Roman"/>
          <w:color w:val="FFFFFF" w:themeColor="background1"/>
        </w:rPr>
        <w:t>6.</w:t>
      </w:r>
      <w:r w:rsidR="00902BEC" w:rsidRPr="00B21102">
        <w:rPr>
          <w:rFonts w:ascii="Times New Roman" w:hAnsi="Times New Roman" w:cs="Times New Roman"/>
          <w:color w:val="FFFFFF" w:themeColor="background1"/>
        </w:rPr>
        <w:t xml:space="preserve"> </w:t>
      </w:r>
      <w:r w:rsidRPr="003A5A4E">
        <w:rPr>
          <w:rFonts w:ascii="Times New Roman" w:hAnsi="Times New Roman" w:cs="Times New Roman"/>
        </w:rPr>
        <w:t>sz.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alatti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lakos.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alapítók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kijelentik,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közhasznú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jogállású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szervezetként,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de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közhasznú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tevékenységet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folytató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alapítványként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kíván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működni.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célja: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Katolikus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karitatív,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kulturális,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vallási,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technikai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feltételeinek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javítása</w:t>
      </w:r>
      <w:r w:rsidR="00902BEC" w:rsidRPr="003A5A4E">
        <w:rPr>
          <w:rFonts w:ascii="Times New Roman" w:hAnsi="Times New Roman" w:cs="Times New Roman"/>
        </w:rPr>
        <w:t xml:space="preserve">  </w:t>
      </w:r>
      <w:r w:rsidRPr="003A5A4E">
        <w:rPr>
          <w:rFonts w:ascii="Times New Roman" w:hAnsi="Times New Roman" w:cs="Times New Roman"/>
        </w:rPr>
        <w:t>műszaki,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technikai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berendezések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beszerzésével,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szabadidős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programok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különösen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környezettudatos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nevelést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elősegítő,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kulturális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örökségünk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megismertetésére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irányuló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programok,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tanulmányi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kirándulások,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eszközeinek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bővítése,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felújítása,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ifjúsági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vezetők,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trénerek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módszertani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gyűjtemények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kiadása,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2011.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CXC.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nemzeti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lastRenderedPageBreak/>
        <w:t>köznevelésről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4.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(1)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u)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tevékenységnek,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egyetemista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fiatalok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bevonása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végzésébe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(hajléktalanok,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idősek,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betegek,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testi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szellemi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fogyatékkal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élők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közt),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2011.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CLXXXIX.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Magyarország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helyi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önkormányzatairól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23.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(4)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bekezdés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4.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23.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(5)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bekezdés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tevékenységnek,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egyetemista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fiatalok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társadalmi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szerep-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felelősségvállalásra,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karitatív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elköteleződésre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nevelése,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érzékenységet,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toleranciát,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elfogadást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elősegítő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programok,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képzések,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projektek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ezeken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részvétel,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hallgatói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öntevékeny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csoportok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(kulturális,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művészeti,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közéleti,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sport),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1991.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XX.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helyi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önkormányzatok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szerveik,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köztársasági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megbízottak,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centrális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alárendeltségű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feladat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hatásköreiről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121.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a)-b)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2011.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CLXXXIX.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Magyarország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helyi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önkormányzatairól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13.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(1)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bekezdés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7.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pontja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tevékenységnek,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ifjúságvédelemmel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kapcsolatos,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deviáns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magatartásformák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megelőzését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célzó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programok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támogatása,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ifjúsági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munkával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kapcsolatos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konferenciák,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sportéletének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fellendítése,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  <w:bCs/>
        </w:rPr>
        <w:t>2004.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törvény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sportról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49.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c)-e)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pont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tevékenységnek,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fejlődését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biztosító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pályázati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lehetőségek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folyamatos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figyelése,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pályázatok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elkészítése,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országos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regionális,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városi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ünnepek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lebonyolítása,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fiatalok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családi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életre,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házasságra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felkészítésének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segítése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  <w:bCs/>
        </w:rPr>
        <w:t>1997.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XXXI.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törvény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gyermekek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védelméről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gyámügyi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igazgatásról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17.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(1)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bekezdés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egészséges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életmódra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nevelés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feltételeinek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bővítése,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2011.évi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CLXXXIX.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Magyarország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helyi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önkormányzatairól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13.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(1)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bekezdés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4.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5.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23.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(5)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bekezdés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9.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tevékenységnek,</w:t>
      </w:r>
    </w:p>
    <w:p w:rsidR="00044196" w:rsidRPr="003A5A4E" w:rsidRDefault="00CA791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kapcsolat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keresése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hasonló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célokat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kitűző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szervezetekkel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mind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mind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külföldön,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különös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tekintettel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túli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magyarság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hasonló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szervezeteivel;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partnerkapcsolat,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cserelehetőségek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kiépítése,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közös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projektek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kidolgozása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2011.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CLXXIX.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nemzetiségek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jogairól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115.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§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a)-i)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vagyona,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alapítók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közötti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megoszlása: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Induló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30.000,-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harmincezer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készpénz,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30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belül,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harminc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befizetnek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számlájára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alábbiak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Csiszár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Imre</w:t>
      </w:r>
      <w:r w:rsidRPr="003A5A4E">
        <w:rPr>
          <w:rFonts w:ascii="Times New Roman" w:hAnsi="Times New Roman" w:cs="Times New Roman"/>
        </w:rPr>
        <w:tab/>
      </w:r>
      <w:r w:rsidRPr="003A5A4E">
        <w:rPr>
          <w:rFonts w:ascii="Times New Roman" w:hAnsi="Times New Roman" w:cs="Times New Roman"/>
        </w:rPr>
        <w:tab/>
        <w:t>10.000,-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Ft</w:t>
      </w:r>
    </w:p>
    <w:p w:rsidR="00044196" w:rsidRPr="003A5A4E" w:rsidRDefault="00F018C3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Krabót-Hóbár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Ágnes</w:t>
      </w:r>
      <w:r w:rsidRPr="003A5A4E">
        <w:rPr>
          <w:rFonts w:ascii="Times New Roman" w:hAnsi="Times New Roman" w:cs="Times New Roman"/>
        </w:rPr>
        <w:tab/>
      </w:r>
      <w:r w:rsidR="00CA791E" w:rsidRPr="003A5A4E">
        <w:rPr>
          <w:rFonts w:ascii="Times New Roman" w:hAnsi="Times New Roman" w:cs="Times New Roman"/>
        </w:rPr>
        <w:t>10.000,-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="00CA791E" w:rsidRPr="003A5A4E">
        <w:rPr>
          <w:rFonts w:ascii="Times New Roman" w:hAnsi="Times New Roman" w:cs="Times New Roman"/>
        </w:rPr>
        <w:t>Ft</w:t>
      </w: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Hortobágyi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Attila</w:t>
      </w:r>
      <w:r w:rsidRPr="003A5A4E">
        <w:rPr>
          <w:rFonts w:ascii="Times New Roman" w:hAnsi="Times New Roman" w:cs="Times New Roman"/>
        </w:rPr>
        <w:tab/>
        <w:t>10.000,-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Ft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induló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fordítható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megkezdésére.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folyamatos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20%-a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fordítható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költségekre,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10%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vállalkozási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tevékenységre,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70%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közvetlenül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célokra.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fentiekben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meghatározott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vagyonból,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csatlakozó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juttatásból,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javára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rendelkezésre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bocsátott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vagyonrészből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tevődik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Alapítványi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vagyon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felhasználásának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jogcímei: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  <w:u w:val="single"/>
        </w:rPr>
      </w:pP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kapcsolatos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fedezése.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lastRenderedPageBreak/>
        <w:t>Vállalkozási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folytatása.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feltételeinek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szinten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tartásához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javításához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segítségnyújtás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szakmai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könyvek,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eszközök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vásárlása.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szinten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tartásához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segítségnyújtás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/karbantartás,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felújítás,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beruházás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költségeihez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történő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hozzájárulás/.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karitatív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területen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olyan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programokra,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rászorulók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segítését,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egyetemista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fiatalok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szociális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irányú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társadalmi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szerepvállalását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célozzák.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Olyan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módszertani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segédanyagok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beszerzése,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ifjúsági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vezetők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szükségesek.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Olyan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kiadására,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ifjúsági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vezetők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képzéséhez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szükségesek.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hazai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külföldi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ifjúságpasztorációs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intézményekkel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történő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együttműködés,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kapcsolatok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kialakítása.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eredményességének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fokozása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érdekében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kirándulások,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cserelátogatások,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kiállítások,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színház-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múzeumlátogatások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részbeni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egészbeni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fedezete.</w:t>
      </w:r>
    </w:p>
    <w:p w:rsidR="00044196" w:rsidRPr="003A5A4E" w:rsidRDefault="00CA791E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céljai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érdekében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pályázatok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költségeire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(pályázati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díjak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stb.).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kezelése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és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képviselete: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kezelő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5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(öt)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áll.</w:t>
      </w:r>
    </w:p>
    <w:p w:rsidR="00044196" w:rsidRPr="003A5A4E" w:rsidRDefault="00CA791E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mindenkori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Katolikus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mindenkori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lelkésze.</w:t>
      </w:r>
    </w:p>
    <w:p w:rsidR="00044196" w:rsidRPr="003A5A4E" w:rsidRDefault="00CA791E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további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tagjai: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mindenkori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Lelkészségi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Tanács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többségi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szavazással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jóváhagyott,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Szegedi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Katolikus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Egyetemi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Lelkészség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keretein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belül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tevékenykedő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önkéntesek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(4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fő).</w:t>
      </w:r>
    </w:p>
    <w:p w:rsidR="00044196" w:rsidRPr="003A5A4E" w:rsidRDefault="00CA791E">
      <w:pPr>
        <w:pStyle w:val="Textbody"/>
        <w:tabs>
          <w:tab w:val="left" w:pos="2520"/>
        </w:tabs>
        <w:spacing w:after="57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mindenkori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Lelkészségi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Tanács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tagokat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határozatlan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időre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jelöli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elfogadással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jön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létre.</w:t>
      </w:r>
    </w:p>
    <w:p w:rsidR="00044196" w:rsidRPr="003A5A4E" w:rsidRDefault="00044196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  <w:u w:val="single"/>
        </w:rPr>
      </w:pPr>
      <w:r w:rsidRPr="003A5A4E">
        <w:rPr>
          <w:rFonts w:ascii="Times New Roman" w:hAnsi="Times New Roman" w:cs="Times New Roman"/>
          <w:bCs/>
          <w:u w:val="single"/>
        </w:rPr>
        <w:t>Összeférhetetlenségi</w:t>
      </w:r>
      <w:r w:rsidR="00902BEC" w:rsidRPr="003A5A4E">
        <w:rPr>
          <w:rFonts w:ascii="Times New Roman" w:hAnsi="Times New Roman" w:cs="Times New Roman"/>
          <w:bCs/>
          <w:u w:val="single"/>
        </w:rPr>
        <w:t xml:space="preserve"> </w:t>
      </w:r>
      <w:r w:rsidRPr="003A5A4E">
        <w:rPr>
          <w:rFonts w:ascii="Times New Roman" w:hAnsi="Times New Roman" w:cs="Times New Roman"/>
          <w:bCs/>
          <w:u w:val="single"/>
        </w:rPr>
        <w:t>rendelkezések:</w:t>
      </w:r>
    </w:p>
    <w:p w:rsidR="00044196" w:rsidRPr="003A5A4E" w:rsidRDefault="00044196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„A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döntéshozó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szerv,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valamint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ügyvezető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szerv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határozathozatalában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vehet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részt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közeli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hozzátartozója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alapján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a)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kötelezettség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felelősség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mentesül,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b)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bármilyen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más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előnyben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részesül,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illetve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megkötendő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jogügyletben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egyébként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érdekelt.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(2)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minősül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előnynek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közhasznú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szervezet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cél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juttatásai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keretében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bárki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által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megkötés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nélkül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igénybe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vehető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pénzbeli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szolgáltatás,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illetve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egyesület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által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tagjának,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tagsági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jogviszony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alapján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nyújtott,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létesítő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okiratnak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megfelelő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cél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juttatás.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(Ectv.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38.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(1)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–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(2)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bekezdések)</w:t>
      </w:r>
    </w:p>
    <w:p w:rsidR="00044196" w:rsidRPr="003A5A4E" w:rsidRDefault="00044196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„[A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tisztségviselővel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szembeni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követelmények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kizáró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okok]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(1)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nagykorú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cselekvőképességét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tevékenysége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ellátásához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szükséges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körben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korlátozták.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(2)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köteles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kijelölni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természetes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személyt,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feladatokat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nevében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ellátja.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tisztségviselőkre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vonatkozó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szabályokat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kijelölt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személyre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alkalmazni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kell.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(3)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ügyvezetési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feladatait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személyesen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köteles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ellátni.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(4)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bűncselekmény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elkövetése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miatt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jogerősen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szabadságvesztés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büntetésre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ítéltek,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amíg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büntetett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előélethez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fűződő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hátrányos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következmények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mentesült.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lastRenderedPageBreak/>
        <w:t>(5)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foglalkozástól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jogerősen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eltiltottak.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valamely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foglalkozástól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jogerős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bírói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ítélettel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eltiltottak,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eltiltás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hatálya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alatt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ítéletben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megjelölt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tevékenységet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folytató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tisztségviselője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(6)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eltiltást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kimondó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határozatban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megszabott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időtartamig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eltiltottak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vezető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tisztségviselői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tevékenységtől.”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(Ptk.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3:22.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§)</w:t>
      </w:r>
    </w:p>
    <w:p w:rsidR="00044196" w:rsidRPr="003A5A4E" w:rsidRDefault="00044196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„Az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kedvezményezettje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annak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közeli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hozzátartozója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tagja.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okirat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eltérő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rendelkezése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semmis.</w:t>
      </w: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közeli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hozzátartozói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lehetnek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többségben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kuratóriumban.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okirat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eltérő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rendelkezése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semmis.”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(Ptk.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3:397.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(3)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(4)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bekezdés)</w:t>
      </w:r>
    </w:p>
    <w:p w:rsidR="00044196" w:rsidRPr="003A5A4E" w:rsidRDefault="00044196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044196" w:rsidRPr="003A5A4E" w:rsidRDefault="00CA791E">
      <w:pPr>
        <w:pStyle w:val="Textbody"/>
        <w:tabs>
          <w:tab w:val="left" w:pos="2700"/>
        </w:tabs>
        <w:spacing w:after="0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„A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meghozatalakor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szavazhat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az,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0" w:name="pr491id1423228596526"/>
      <w:bookmarkEnd w:id="0"/>
      <w:r w:rsidRPr="003A5A4E">
        <w:rPr>
          <w:rFonts w:ascii="Times New Roman" w:hAnsi="Times New Roman" w:cs="Times New Roman"/>
          <w:bCs/>
        </w:rPr>
        <w:t>a)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kötelezettség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felelősség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alól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mentesít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terhére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másfajta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előnyben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részesít;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1" w:name="pr492id1423228596526"/>
      <w:bookmarkEnd w:id="1"/>
      <w:r w:rsidRPr="003A5A4E">
        <w:rPr>
          <w:rFonts w:ascii="Times New Roman" w:hAnsi="Times New Roman" w:cs="Times New Roman"/>
          <w:bCs/>
        </w:rPr>
        <w:t>b)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akivel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szerződést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kell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kötni;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2" w:name="pr493id1423228596526"/>
      <w:bookmarkEnd w:id="2"/>
      <w:r w:rsidRPr="003A5A4E">
        <w:rPr>
          <w:rFonts w:ascii="Times New Roman" w:hAnsi="Times New Roman" w:cs="Times New Roman"/>
          <w:bCs/>
        </w:rPr>
        <w:t>c)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ellen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határozat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alapján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pert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kell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indítani;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3" w:name="pr494id1423228596526"/>
      <w:bookmarkEnd w:id="3"/>
      <w:r w:rsidRPr="003A5A4E">
        <w:rPr>
          <w:rFonts w:ascii="Times New Roman" w:hAnsi="Times New Roman" w:cs="Times New Roman"/>
          <w:bCs/>
        </w:rPr>
        <w:t>d)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olyan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hozzátartozója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érdekelt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döntésben,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jogi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nem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tagja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alapítója;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4" w:name="pr495id1423228596526"/>
      <w:bookmarkEnd w:id="4"/>
      <w:r w:rsidRPr="003A5A4E">
        <w:rPr>
          <w:rFonts w:ascii="Times New Roman" w:hAnsi="Times New Roman" w:cs="Times New Roman"/>
          <w:bCs/>
        </w:rPr>
        <w:t>e)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döntésben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érdekelt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más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szervezettel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többségi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befolyáson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alapuló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kapcsolatban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áll;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vagy</w:t>
      </w:r>
    </w:p>
    <w:p w:rsidR="00044196" w:rsidRPr="003A5A4E" w:rsidRDefault="00CA791E">
      <w:pPr>
        <w:pStyle w:val="Textbody"/>
        <w:spacing w:after="0"/>
        <w:jc w:val="both"/>
        <w:rPr>
          <w:rFonts w:ascii="Times New Roman" w:hAnsi="Times New Roman" w:cs="Times New Roman"/>
          <w:bCs/>
        </w:rPr>
      </w:pPr>
      <w:bookmarkStart w:id="5" w:name="pr496id1423228596526"/>
      <w:bookmarkEnd w:id="5"/>
      <w:r w:rsidRPr="003A5A4E">
        <w:rPr>
          <w:rFonts w:ascii="Times New Roman" w:hAnsi="Times New Roman" w:cs="Times New Roman"/>
          <w:bCs/>
        </w:rPr>
        <w:t>f)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aki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egyébként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személyesen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érdekelt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döntésben.”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(Ptk.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3:19.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§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(2)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bekezdés)</w:t>
      </w:r>
    </w:p>
    <w:p w:rsidR="00F018C3" w:rsidRPr="003A5A4E" w:rsidRDefault="00F018C3">
      <w:pPr>
        <w:pStyle w:val="Standard"/>
        <w:spacing w:after="57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spacing w:after="57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vagyonát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kezeli.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gyakorisággal,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évente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egyszer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ülésezik.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kell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összehívni,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írásban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elnökhöz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eljuttatott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kérelmében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igényli,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abban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tárgyévben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felhasználásra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tervezett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tárgyévet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megelőző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javára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befolyt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szabad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pénzösszeg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50%-át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eléri.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Egyébként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bármikor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jogosult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összehívni,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amennyiben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kérdésben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szükségesnek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tartja.</w:t>
      </w: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megtartása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8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nappal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írásban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hívja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olyképpen,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meghívóban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napirendi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pontjait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közölni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kell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tagokkal.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8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napba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napja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számít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bele.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nyilvánosak,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jogosult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venni.</w:t>
      </w: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akkor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határozatképes,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3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köztük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van.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döntéseit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nyílt,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kézfeltartásos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szavazás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formájában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meg.</w:t>
      </w: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döntéseit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jelenlevő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egyszerű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szótöbbségével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hozza.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Szavazategyenlőség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újabb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kell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összehívni.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ismételt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akkor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lesz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határozatképes,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van.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szintén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nyílt,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kézfeltartásos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szavazás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formájában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azzal,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ismételt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tartandó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szavazáskor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tartózkodásnak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helye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nincs.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minősített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ügyekben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jelenlevő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kétharmadának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szótöbbségével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Minősített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ügynek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tekintendő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Szabályzatának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megváltoztatása,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feléről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rendelkezésről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hozandó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döntéseiről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köteles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olyan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nyilvántartást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vezetni,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melyből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tartalma,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döntéshozatal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időpontja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hatálya,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ellen,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mellett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szavazók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számaránya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megállapítható.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közvetlenül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érintett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személlyel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postai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úton,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írásban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közli.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lastRenderedPageBreak/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valamennyi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nyilvánosságra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hozataláról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köteles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gondoskodni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olyképpen,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döntéseket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székhelyén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elhelyezett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hirdetőtáblán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közzéteszi.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határozathozatalában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vehet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közeli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hozzátartozója,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élettársa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(a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továbbiakban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együtt: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hozzátartozó)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</w:p>
    <w:p w:rsidR="00044196" w:rsidRPr="003A5A4E" w:rsidRDefault="00CA791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kötelezettség,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felelősség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mentesül,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</w:t>
      </w:r>
    </w:p>
    <w:p w:rsidR="00044196" w:rsidRPr="003A5A4E" w:rsidRDefault="00CA791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bármilyen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előnyben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részesül,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kötendő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jogügyletben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egyébként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érdekelt.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minősül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előnynek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juttatási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keretében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megkötés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nélkül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igénybe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vehető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pénzbeli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szolgáltatás.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esetleges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megszűnését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követő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lehet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tisztségviselője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olyan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szervezetnél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töltött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megszűnését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megelőző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legalább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évig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–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vezető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tisztséget,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adózás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rendjéről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szóló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rendelkezése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köztartozását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egyenlítette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tagja,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ennek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jelölt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köteles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valamennyi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érintett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előzetesen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tájékoztatni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arról,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ilyen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tisztséget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egyidejűleg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közhasznú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szervezetnél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betölt.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beszámolójának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elfogadása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hatáskörébe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tartozik,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ebben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kérdésben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jelenlevő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tagok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kétharmados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szótöbbségével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határoz.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döntéseinek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végrehajtásáért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felel.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tagjai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tevékenységüket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díjazás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nélkül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látják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felmerült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költségeik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megtérítését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igényelhetik.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egyebekben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vonatkozó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jogszabályok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keretei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között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meghatározott,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kiegészített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ügyrend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önállóan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végzi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kezelő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képviselő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tevékenységét.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Kuratórium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elnöke,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tagjai: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Elnök:</w:t>
      </w:r>
    </w:p>
    <w:p w:rsidR="00044196" w:rsidRPr="00B21102" w:rsidRDefault="00F018C3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color w:val="FFFFFF" w:themeColor="background1"/>
        </w:rPr>
      </w:pPr>
      <w:r w:rsidRPr="003A5A4E">
        <w:rPr>
          <w:rFonts w:ascii="Times New Roman" w:hAnsi="Times New Roman" w:cs="Times New Roman"/>
          <w:b/>
          <w:bCs/>
          <w:iCs/>
        </w:rPr>
        <w:t>Köllő</w:t>
      </w:r>
      <w:r w:rsidR="00902BEC" w:rsidRPr="003A5A4E">
        <w:rPr>
          <w:rFonts w:ascii="Times New Roman" w:hAnsi="Times New Roman" w:cs="Times New Roman"/>
          <w:b/>
          <w:bCs/>
          <w:iCs/>
        </w:rPr>
        <w:t xml:space="preserve"> </w:t>
      </w:r>
      <w:r w:rsidRPr="003A5A4E">
        <w:rPr>
          <w:rFonts w:ascii="Times New Roman" w:hAnsi="Times New Roman" w:cs="Times New Roman"/>
          <w:b/>
          <w:bCs/>
          <w:iCs/>
        </w:rPr>
        <w:t>Alexandru-Mihaly,</w:t>
      </w:r>
      <w:r w:rsidR="00902BEC" w:rsidRPr="003A5A4E">
        <w:rPr>
          <w:rFonts w:ascii="Times New Roman" w:hAnsi="Times New Roman" w:cs="Times New Roman"/>
          <w:b/>
          <w:bCs/>
          <w:iCs/>
        </w:rPr>
        <w:t xml:space="preserve"> 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Topli</w:t>
      </w:r>
      <w:r w:rsidR="00902BEC" w:rsidRPr="00B21102">
        <w:rPr>
          <w:rFonts w:ascii="Times New Roman" w:hAnsi="Times New Roman" w:cs="Times New Roman"/>
          <w:b/>
          <w:color w:val="FFFFFF" w:themeColor="background1"/>
        </w:rPr>
        <w:t>ţ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a/Maroshévíz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(Románia),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1986.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10.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19.,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Kósa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Szilvia,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6720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Szeged,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Dóm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tér</w:t>
      </w:r>
      <w:r w:rsidR="00902BEC"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15.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Kuratórium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tagja,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egyben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titkára:</w:t>
      </w:r>
    </w:p>
    <w:p w:rsidR="00044196" w:rsidRPr="003A5A4E" w:rsidRDefault="00F018C3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3A5A4E">
        <w:rPr>
          <w:rFonts w:ascii="Times New Roman" w:hAnsi="Times New Roman" w:cs="Times New Roman"/>
          <w:bCs/>
          <w:iCs/>
        </w:rPr>
        <w:t>Lengyel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András,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Szeged,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1992.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11.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20.,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Rátfai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Andrea,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6723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Szeged,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Pósz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Jenő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u.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1/B</w:t>
      </w:r>
    </w:p>
    <w:p w:rsidR="00F018C3" w:rsidRPr="003A5A4E" w:rsidRDefault="00F018C3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Kuratórium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további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tagjai:</w:t>
      </w:r>
    </w:p>
    <w:p w:rsidR="00044196" w:rsidRPr="00B21102" w:rsidRDefault="00CA791E">
      <w:pPr>
        <w:pStyle w:val="Standard"/>
        <w:jc w:val="both"/>
        <w:rPr>
          <w:rFonts w:ascii="Times New Roman" w:hAnsi="Times New Roman" w:cs="Times New Roman"/>
          <w:bCs/>
          <w:iCs/>
          <w:color w:val="FFFFFF" w:themeColor="background1"/>
        </w:rPr>
      </w:pPr>
      <w:r w:rsidRPr="003A5A4E">
        <w:rPr>
          <w:rFonts w:ascii="Times New Roman" w:hAnsi="Times New Roman" w:cs="Times New Roman"/>
          <w:bCs/>
          <w:iCs/>
        </w:rPr>
        <w:t>Kóczán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Balázs,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Szentes,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1992.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03.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09.,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Rimfel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Klára,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6600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Szentes,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József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Attila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u.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17.</w:t>
      </w:r>
    </w:p>
    <w:p w:rsidR="00044196" w:rsidRPr="00B21102" w:rsidRDefault="00902BEC">
      <w:pPr>
        <w:pStyle w:val="Standard"/>
        <w:jc w:val="both"/>
        <w:rPr>
          <w:rFonts w:ascii="Times New Roman" w:hAnsi="Times New Roman" w:cs="Times New Roman"/>
          <w:b/>
          <w:iCs/>
          <w:color w:val="FFFFFF" w:themeColor="background1"/>
        </w:rPr>
      </w:pPr>
      <w:r w:rsidRPr="003A5A4E">
        <w:rPr>
          <w:rFonts w:ascii="Times New Roman" w:hAnsi="Times New Roman" w:cs="Times New Roman"/>
          <w:b/>
          <w:bCs/>
          <w:iCs/>
        </w:rPr>
        <w:t xml:space="preserve">Kóczán Dániel, </w:t>
      </w:r>
      <w:r w:rsidRPr="00B21102">
        <w:rPr>
          <w:rFonts w:ascii="Times New Roman" w:hAnsi="Times New Roman" w:cs="Times New Roman"/>
          <w:b/>
          <w:bCs/>
          <w:iCs/>
          <w:color w:val="FFFFFF" w:themeColor="background1"/>
        </w:rPr>
        <w:t>Szentes, 1996. 07. 24., Rimfel Klára, 6600 Szentes, József Attila u. 17.</w:t>
      </w:r>
    </w:p>
    <w:p w:rsidR="00044196" w:rsidRPr="00B21102" w:rsidRDefault="00CA791E">
      <w:pPr>
        <w:pStyle w:val="Standard"/>
        <w:jc w:val="both"/>
        <w:rPr>
          <w:rFonts w:ascii="Times New Roman" w:hAnsi="Times New Roman" w:cs="Times New Roman"/>
          <w:bCs/>
          <w:iCs/>
          <w:color w:val="FFFFFF" w:themeColor="background1"/>
        </w:rPr>
      </w:pPr>
      <w:r w:rsidRPr="003A5A4E">
        <w:rPr>
          <w:rFonts w:ascii="Times New Roman" w:hAnsi="Times New Roman" w:cs="Times New Roman"/>
          <w:bCs/>
          <w:iCs/>
        </w:rPr>
        <w:t>Bauer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Iván,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Novi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Sad/Újvidék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(Szerbia),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1990.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11.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28.,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Gasparovszki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Krisztina,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6710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Szeged,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kökörcsin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u.</w:t>
      </w:r>
      <w:r w:rsidR="00902BEC" w:rsidRPr="00B21102">
        <w:rPr>
          <w:rFonts w:ascii="Times New Roman" w:hAnsi="Times New Roman" w:cs="Times New Roman"/>
          <w:bCs/>
          <w:iCs/>
          <w:color w:val="FFFFFF" w:themeColor="background1"/>
        </w:rPr>
        <w:t xml:space="preserve"> </w:t>
      </w:r>
      <w:r w:rsidRPr="00B21102">
        <w:rPr>
          <w:rFonts w:ascii="Times New Roman" w:hAnsi="Times New Roman" w:cs="Times New Roman"/>
          <w:bCs/>
          <w:iCs/>
          <w:color w:val="FFFFFF" w:themeColor="background1"/>
        </w:rPr>
        <w:t>17.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tabs>
          <w:tab w:val="left" w:pos="3128"/>
        </w:tabs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képviselője:</w:t>
      </w:r>
      <w:r w:rsidRPr="003A5A4E">
        <w:rPr>
          <w:rFonts w:ascii="Times New Roman" w:hAnsi="Times New Roman" w:cs="Times New Roman"/>
        </w:rPr>
        <w:tab/>
      </w:r>
      <w:r w:rsidRPr="003A5A4E">
        <w:rPr>
          <w:rFonts w:ascii="Times New Roman" w:hAnsi="Times New Roman" w:cs="Times New Roman"/>
          <w:bCs/>
          <w:iCs/>
        </w:rPr>
        <w:t>a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Kuratórium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elnöke,</w:t>
      </w:r>
      <w:r w:rsidR="00902BEC" w:rsidRPr="003A5A4E">
        <w:rPr>
          <w:rFonts w:ascii="Times New Roman" w:hAnsi="Times New Roman" w:cs="Times New Roman"/>
          <w:b/>
          <w:bCs/>
          <w:iCs/>
        </w:rPr>
        <w:t xml:space="preserve"> Köllő </w:t>
      </w:r>
      <w:r w:rsidR="0010295E" w:rsidRPr="003A5A4E">
        <w:rPr>
          <w:rFonts w:ascii="Times New Roman" w:hAnsi="Times New Roman" w:cs="Times New Roman"/>
          <w:b/>
          <w:bCs/>
          <w:iCs/>
        </w:rPr>
        <w:t>Alexandru-Mihaly</w:t>
      </w:r>
    </w:p>
    <w:p w:rsidR="00044196" w:rsidRPr="003A5A4E" w:rsidRDefault="00CA791E">
      <w:pPr>
        <w:pStyle w:val="Standard"/>
        <w:tabs>
          <w:tab w:val="left" w:pos="3118"/>
        </w:tabs>
        <w:jc w:val="both"/>
        <w:rPr>
          <w:rFonts w:ascii="Times New Roman" w:hAnsi="Times New Roman" w:cs="Times New Roman"/>
          <w:bCs/>
          <w:iCs/>
        </w:rPr>
      </w:pPr>
      <w:r w:rsidRPr="003A5A4E">
        <w:rPr>
          <w:rFonts w:ascii="Times New Roman" w:hAnsi="Times New Roman" w:cs="Times New Roman"/>
          <w:b/>
          <w:bCs/>
          <w:iCs/>
        </w:rPr>
        <w:tab/>
      </w:r>
      <w:r w:rsidRPr="003A5A4E">
        <w:rPr>
          <w:rFonts w:ascii="Times New Roman" w:hAnsi="Times New Roman" w:cs="Times New Roman"/>
          <w:bCs/>
          <w:iCs/>
        </w:rPr>
        <w:t>akadályoztatása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esetén</w:t>
      </w:r>
    </w:p>
    <w:p w:rsidR="00044196" w:rsidRPr="003A5A4E" w:rsidRDefault="00CA791E">
      <w:pPr>
        <w:pStyle w:val="Standard"/>
        <w:tabs>
          <w:tab w:val="left" w:pos="3118"/>
        </w:tabs>
        <w:jc w:val="both"/>
        <w:rPr>
          <w:rFonts w:ascii="Times New Roman" w:hAnsi="Times New Roman" w:cs="Times New Roman"/>
          <w:bCs/>
          <w:iCs/>
        </w:rPr>
      </w:pPr>
      <w:r w:rsidRPr="003A5A4E">
        <w:rPr>
          <w:rFonts w:ascii="Times New Roman" w:hAnsi="Times New Roman" w:cs="Times New Roman"/>
          <w:b/>
          <w:bCs/>
          <w:iCs/>
        </w:rPr>
        <w:tab/>
      </w:r>
      <w:r w:rsidR="00902BEC" w:rsidRPr="003A5A4E">
        <w:rPr>
          <w:rFonts w:ascii="Times New Roman" w:hAnsi="Times New Roman" w:cs="Times New Roman"/>
          <w:bCs/>
          <w:iCs/>
        </w:rPr>
        <w:t xml:space="preserve">Lengyel András </w:t>
      </w:r>
      <w:r w:rsidRPr="003A5A4E">
        <w:rPr>
          <w:rFonts w:ascii="Times New Roman" w:hAnsi="Times New Roman" w:cs="Times New Roman"/>
          <w:bCs/>
          <w:iCs/>
        </w:rPr>
        <w:t>titkár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és</w:t>
      </w:r>
    </w:p>
    <w:p w:rsidR="00044196" w:rsidRPr="003A5A4E" w:rsidRDefault="00CA791E">
      <w:pPr>
        <w:pStyle w:val="Standard"/>
        <w:tabs>
          <w:tab w:val="left" w:pos="3118"/>
        </w:tabs>
        <w:jc w:val="both"/>
        <w:rPr>
          <w:rFonts w:ascii="Times New Roman" w:hAnsi="Times New Roman" w:cs="Times New Roman"/>
          <w:bCs/>
          <w:iCs/>
        </w:rPr>
      </w:pPr>
      <w:r w:rsidRPr="003A5A4E">
        <w:rPr>
          <w:rFonts w:ascii="Times New Roman" w:hAnsi="Times New Roman" w:cs="Times New Roman"/>
          <w:bCs/>
          <w:iCs/>
        </w:rPr>
        <w:tab/>
        <w:t>Kóczán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Balázs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tag</w:t>
      </w:r>
      <w:r w:rsidR="00902BEC" w:rsidRPr="003A5A4E">
        <w:rPr>
          <w:rFonts w:ascii="Times New Roman" w:hAnsi="Times New Roman" w:cs="Times New Roman"/>
          <w:bCs/>
          <w:iCs/>
        </w:rPr>
        <w:t xml:space="preserve"> </w:t>
      </w:r>
      <w:r w:rsidRPr="003A5A4E">
        <w:rPr>
          <w:rFonts w:ascii="Times New Roman" w:hAnsi="Times New Roman" w:cs="Times New Roman"/>
          <w:bCs/>
          <w:iCs/>
        </w:rPr>
        <w:t>együttesen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  <w:shd w:val="clear" w:color="auto" w:fill="FFFF00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tagjának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megbízatása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megszűnik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lemondással,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által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történő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visszahívással,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halálával,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továbbá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azokban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esetekben,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tagot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bíróság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jogerős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ítélete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közügyektől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eltiltásra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ítélte,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amennyiben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bíróság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jogerős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ítélete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lastRenderedPageBreak/>
        <w:t>ítélőképességét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elveszíti.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vagyonfelhasználása: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egyedileg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felhasználásáról.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Ennek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kérelmezőket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pénzbeni,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tárgyi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támogatásban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részesítheti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Ezen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túl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dönt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jelen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szerinti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eléréséhez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szükséges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vagyonfelhasználásáról,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mértékéről.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megfogalmazott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eléréséhez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pályázatot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írhat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céljának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megvalósítására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rendelt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támogatásokból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egyedileg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kérelmek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bárki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részesülhet.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igénylő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írásba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foglalt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igényelt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céljának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összegének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meghatározásával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tartozik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eljuttatni.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kérelem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kérdésében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következő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lehet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egyszeri,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illetve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rendszeres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10.000,-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készpénz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kivételével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teljes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körűen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felhasználható.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Vegyes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rendelkezések: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vállalkozási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csak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fentebb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meghatározott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megvalósítása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érdekében,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azokat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veszélyeztetve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végezhet.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vállalkozási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elért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eredményét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célok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megvalósítására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köteles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fordítani.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közvetlen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politikai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tevékenységet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folytathat,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szervezete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pártoktól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független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azoknak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anyagi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nem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nyújt.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működésével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kapcsolatos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nyilvános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iratokba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bármely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személy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jogosult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betekinteni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elnökéhez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benyújtott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írásbeli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kérelme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Kuratórium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elnöke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iratbetekintés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eszközlését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soron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következő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ülésen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köteles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biztosítani.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bCs/>
        </w:rPr>
      </w:pP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beszámolója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–</w:t>
      </w:r>
      <w:r w:rsidR="00902BEC" w:rsidRPr="003A5A4E">
        <w:rPr>
          <w:rFonts w:ascii="Times New Roman" w:hAnsi="Times New Roman" w:cs="Times New Roman"/>
          <w:bCs/>
        </w:rPr>
        <w:t xml:space="preserve"> 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által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történt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elfogadását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követően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–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nyilvános.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beszámolót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Kuratórium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elnöke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köteles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székhelyén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elhelyezett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hirdetőtáblán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közzétenni.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  <w:bCs/>
        </w:rPr>
        <w:t>Egyebekben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Alapítvány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cél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szerinti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tevékenységének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gazdálkodásának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legfontosabb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adatait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az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éves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beszámolóra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vonatkozó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szabályok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szerint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kell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nyilvánosságra</w:t>
      </w:r>
      <w:r w:rsidR="00902BEC" w:rsidRPr="003A5A4E">
        <w:rPr>
          <w:rFonts w:ascii="Times New Roman" w:hAnsi="Times New Roman" w:cs="Times New Roman"/>
          <w:bCs/>
        </w:rPr>
        <w:t xml:space="preserve"> </w:t>
      </w:r>
      <w:r w:rsidRPr="003A5A4E">
        <w:rPr>
          <w:rFonts w:ascii="Times New Roman" w:hAnsi="Times New Roman" w:cs="Times New Roman"/>
          <w:bCs/>
        </w:rPr>
        <w:t>hozni.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határozatlan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időtartamra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jön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létre.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megszűnése:</w:t>
      </w:r>
    </w:p>
    <w:p w:rsidR="00902BEC" w:rsidRPr="003A5A4E" w:rsidRDefault="00902BEC">
      <w:pPr>
        <w:pStyle w:val="Standard"/>
        <w:jc w:val="both"/>
        <w:rPr>
          <w:rFonts w:ascii="Times New Roman" w:hAnsi="Times New Roman" w:cs="Times New Roman"/>
        </w:rPr>
      </w:pP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t>(1) Az alapítvány megszűnik, ha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rPr>
          <w:i/>
          <w:iCs/>
        </w:rPr>
        <w:t>a)</w:t>
      </w:r>
      <w:r w:rsidRPr="003A5A4E">
        <w:t xml:space="preserve"> az alapítvány a célját megvalósította, és az alapító új célt nem határozott meg;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rPr>
          <w:i/>
          <w:iCs/>
        </w:rPr>
        <w:t>b)</w:t>
      </w:r>
      <w:r w:rsidRPr="003A5A4E">
        <w:t xml:space="preserve"> az alapítvány céljának megvalósítása lehetetlenné vált, és a cél módosítására vagy más alapítvánnyal való egyesülésre nincs mód; vagy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rPr>
          <w:i/>
          <w:iCs/>
        </w:rPr>
        <w:t>c)</w:t>
      </w:r>
      <w:r w:rsidRPr="003A5A4E">
        <w:t xml:space="preserve"> az alapítvány három éven át a célja megvalósítása érdekében nem folytat tevékenységet.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t>(2) Az alapító nem szüntetheti meg az alapítványt.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lastRenderedPageBreak/>
        <w:t>(3) Ha valamelyik megszűnési ok bekövetkezik, a kuratórium értesíti az alapítói jogokat gyakorló személyt vagy szervet a szükséges intézkedések megtétele érdekében, és a megszűnési ok bekövetkeztét közli a felügyelőbizottsággal és a könyvvizsgálóval is.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t>(4) Ha az alapítói jogokat gyakorló személy vagy szerv a megszűnési ok alapján harminc napon belül érdemi intézkedést nem hoz, a kuratórium ezt követően köteles a nyilvántartó bírósághoz bejelenteni a megszűnési okot. A bejelentési kötelezettség késedelmes voltából vagy elmulasztásából eredő károkért az alapítvánnyal és harmadik személyekkel szemben a kuratórium tagjai egyetemlegesen felelnek.</w:t>
      </w:r>
    </w:p>
    <w:p w:rsidR="00902BEC" w:rsidRPr="003A5A4E" w:rsidRDefault="00902BEC" w:rsidP="00902BEC">
      <w:pPr>
        <w:pStyle w:val="NormlWeb"/>
        <w:spacing w:before="0" w:beforeAutospacing="0" w:after="20" w:afterAutospacing="0"/>
        <w:jc w:val="both"/>
      </w:pPr>
      <w:r w:rsidRPr="003A5A4E">
        <w:t>(5) A jogutód nélkül megszűnő alapítványnak a hitelezői igények kielégítése után megmaradó vagyonáról a törlését elrendelő határozatban kell rendelkezni. (Ptk. 3:403. §)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Megszűnés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esetén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megmaradó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vagyonrészt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Szegedi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Katolikus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Egyetemi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Lelkészség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támogatására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kell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fordítani.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3A5A4E">
        <w:rPr>
          <w:rFonts w:ascii="Times New Roman" w:hAnsi="Times New Roman" w:cs="Times New Roman"/>
          <w:u w:val="single"/>
        </w:rPr>
        <w:t>Az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Alapítvány</w:t>
      </w:r>
      <w:r w:rsidR="00902BEC" w:rsidRPr="003A5A4E">
        <w:rPr>
          <w:rFonts w:ascii="Times New Roman" w:hAnsi="Times New Roman" w:cs="Times New Roman"/>
          <w:u w:val="single"/>
        </w:rPr>
        <w:t xml:space="preserve"> </w:t>
      </w:r>
      <w:r w:rsidRPr="003A5A4E">
        <w:rPr>
          <w:rFonts w:ascii="Times New Roman" w:hAnsi="Times New Roman" w:cs="Times New Roman"/>
          <w:u w:val="single"/>
        </w:rPr>
        <w:t>felügyelete: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Alapítvány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működése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felett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törvényes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felügyeletet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ügyészség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látja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Alulírott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fenti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Alapító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okiratot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elolvastuk,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és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azt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akaratunknak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mindenben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megfelelőt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írtuk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alá.</w:t>
      </w: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044196">
      <w:pPr>
        <w:pStyle w:val="Standard"/>
        <w:jc w:val="both"/>
        <w:rPr>
          <w:rFonts w:ascii="Times New Roman" w:hAnsi="Times New Roman" w:cs="Times New Roman"/>
        </w:rPr>
      </w:pPr>
    </w:p>
    <w:p w:rsidR="00044196" w:rsidRPr="003A5A4E" w:rsidRDefault="00CA791E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Igazolom,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hogy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létesítő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okirat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egységes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szerkezetbe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foglalt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szövege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megfelel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létesítőokirat-módosítások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alapján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hatályos</w:t>
      </w:r>
      <w:r w:rsidR="00902BEC" w:rsidRPr="003A5A4E">
        <w:rPr>
          <w:rFonts w:ascii="Times New Roman" w:hAnsi="Times New Roman" w:cs="Times New Roman"/>
        </w:rPr>
        <w:t xml:space="preserve"> </w:t>
      </w:r>
      <w:r w:rsidRPr="003A5A4E">
        <w:rPr>
          <w:rFonts w:ascii="Times New Roman" w:hAnsi="Times New Roman" w:cs="Times New Roman"/>
        </w:rPr>
        <w:t>tartalmának.</w:t>
      </w: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D55E4B" w:rsidRPr="003A5A4E" w:rsidRDefault="005A67BF">
      <w:pPr>
        <w:pStyle w:val="Standard"/>
        <w:jc w:val="both"/>
        <w:rPr>
          <w:rFonts w:ascii="Times New Roman" w:hAnsi="Times New Roman" w:cs="Times New Roman"/>
        </w:rPr>
      </w:pPr>
      <w:r w:rsidRPr="003A5A4E">
        <w:rPr>
          <w:rFonts w:ascii="Times New Roman" w:hAnsi="Times New Roman" w:cs="Times New Roman"/>
        </w:rPr>
        <w:t>Szeged, 2017. július 28.</w:t>
      </w:r>
    </w:p>
    <w:p w:rsidR="00D55E4B" w:rsidRPr="003A5A4E" w:rsidRDefault="00D55E4B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A5A4E" w:rsidRPr="003A5A4E" w:rsidTr="00D55E4B">
        <w:tc>
          <w:tcPr>
            <w:tcW w:w="3209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Csiszár Imre</w:t>
            </w:r>
          </w:p>
        </w:tc>
        <w:tc>
          <w:tcPr>
            <w:tcW w:w="3209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Krabót-Hóbár Ágnes</w:t>
            </w:r>
          </w:p>
        </w:tc>
        <w:tc>
          <w:tcPr>
            <w:tcW w:w="3210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Hortobágyi Attila</w:t>
            </w:r>
          </w:p>
        </w:tc>
      </w:tr>
      <w:tr w:rsidR="0010295E" w:rsidRPr="003A5A4E" w:rsidTr="00D55E4B">
        <w:tc>
          <w:tcPr>
            <w:tcW w:w="3209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alapító</w:t>
            </w:r>
          </w:p>
        </w:tc>
        <w:tc>
          <w:tcPr>
            <w:tcW w:w="3209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alapító</w:t>
            </w:r>
          </w:p>
        </w:tc>
        <w:tc>
          <w:tcPr>
            <w:tcW w:w="3210" w:type="dxa"/>
          </w:tcPr>
          <w:p w:rsidR="0010295E" w:rsidRPr="003A5A4E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A5A4E">
              <w:rPr>
                <w:rFonts w:ascii="Times New Roman" w:hAnsi="Times New Roman" w:cs="Times New Roman"/>
              </w:rPr>
              <w:t>alapító</w:t>
            </w:r>
          </w:p>
        </w:tc>
      </w:tr>
    </w:tbl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p w:rsidR="0010295E" w:rsidRPr="00B21102" w:rsidRDefault="0010295E">
      <w:pPr>
        <w:pStyle w:val="Standard"/>
        <w:jc w:val="both"/>
        <w:rPr>
          <w:rFonts w:ascii="Times New Roman" w:hAnsi="Times New Roman" w:cs="Times New Roman"/>
          <w:color w:val="FFFFFF" w:themeColor="background1"/>
        </w:rPr>
      </w:pPr>
      <w:bookmarkStart w:id="6" w:name="_GoBack"/>
      <w:r w:rsidRPr="00B21102">
        <w:rPr>
          <w:rFonts w:ascii="Times New Roman" w:hAnsi="Times New Roman" w:cs="Times New Roman"/>
          <w:color w:val="FFFFFF" w:themeColor="background1"/>
        </w:rPr>
        <w:t>Előttünk, mint tanúk előtt:</w:t>
      </w:r>
    </w:p>
    <w:p w:rsidR="0010295E" w:rsidRPr="00B21102" w:rsidRDefault="0010295E">
      <w:pPr>
        <w:pStyle w:val="Standard"/>
        <w:jc w:val="both"/>
        <w:rPr>
          <w:rFonts w:ascii="Times New Roman" w:hAnsi="Times New Roman" w:cs="Times New Roman"/>
          <w:color w:val="FFFFFF" w:themeColor="background1"/>
        </w:rPr>
      </w:pPr>
    </w:p>
    <w:p w:rsidR="0010295E" w:rsidRPr="00B21102" w:rsidRDefault="0010295E">
      <w:pPr>
        <w:pStyle w:val="Standard"/>
        <w:jc w:val="both"/>
        <w:rPr>
          <w:rFonts w:ascii="Times New Roman" w:hAnsi="Times New Roman" w:cs="Times New Roman"/>
          <w:color w:val="FFFFFF" w:themeColor="background1"/>
        </w:rPr>
      </w:pPr>
    </w:p>
    <w:p w:rsidR="0010295E" w:rsidRPr="00B21102" w:rsidRDefault="0010295E">
      <w:pPr>
        <w:pStyle w:val="Standard"/>
        <w:jc w:val="both"/>
        <w:rPr>
          <w:rFonts w:ascii="Times New Roman" w:hAnsi="Times New Roman" w:cs="Times New Roman"/>
          <w:color w:val="FFFFFF" w:themeColor="background1"/>
        </w:rPr>
      </w:pPr>
    </w:p>
    <w:p w:rsidR="0010295E" w:rsidRPr="00B21102" w:rsidRDefault="0010295E">
      <w:pPr>
        <w:pStyle w:val="Standard"/>
        <w:jc w:val="both"/>
        <w:rPr>
          <w:rFonts w:ascii="Times New Roman" w:hAnsi="Times New Roman" w:cs="Times New Roman"/>
          <w:color w:val="FFFFFF" w:themeColor="background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Varga Balázs</w:t>
            </w:r>
          </w:p>
        </w:tc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Jusztin István</w:t>
            </w:r>
          </w:p>
        </w:tc>
      </w:tr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Budapest, 1991. 06. 10.</w:t>
            </w:r>
          </w:p>
        </w:tc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Balassagyarmat, 1975. 12. 27.</w:t>
            </w:r>
          </w:p>
        </w:tc>
      </w:tr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Egri Irén</w:t>
            </w:r>
          </w:p>
        </w:tc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Vincze Piroska</w:t>
            </w:r>
          </w:p>
        </w:tc>
      </w:tr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2120 Dunakeszi,</w:t>
            </w:r>
          </w:p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Barátság útja 16.</w:t>
            </w:r>
          </w:p>
        </w:tc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6729 Szeged,</w:t>
            </w:r>
          </w:p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Vaskapu u. 29.</w:t>
            </w:r>
          </w:p>
        </w:tc>
      </w:tr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006758PA</w:t>
            </w:r>
          </w:p>
        </w:tc>
        <w:tc>
          <w:tcPr>
            <w:tcW w:w="4814" w:type="dxa"/>
          </w:tcPr>
          <w:p w:rsidR="0010295E" w:rsidRPr="00B21102" w:rsidRDefault="00D55E4B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B21102">
              <w:rPr>
                <w:rFonts w:ascii="Times New Roman" w:hAnsi="Times New Roman" w:cs="Times New Roman"/>
                <w:color w:val="FFFFFF" w:themeColor="background1"/>
              </w:rPr>
              <w:t>047536MA</w:t>
            </w:r>
          </w:p>
        </w:tc>
      </w:tr>
      <w:tr w:rsidR="00B21102" w:rsidRPr="00B21102" w:rsidTr="00D55E4B"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4814" w:type="dxa"/>
          </w:tcPr>
          <w:p w:rsidR="0010295E" w:rsidRPr="00B21102" w:rsidRDefault="0010295E" w:rsidP="0010295E">
            <w:pPr>
              <w:pStyle w:val="Standard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bookmarkEnd w:id="6"/>
    </w:tbl>
    <w:p w:rsidR="0010295E" w:rsidRPr="003A5A4E" w:rsidRDefault="0010295E">
      <w:pPr>
        <w:pStyle w:val="Standard"/>
        <w:jc w:val="both"/>
        <w:rPr>
          <w:rFonts w:ascii="Times New Roman" w:hAnsi="Times New Roman" w:cs="Times New Roman"/>
        </w:rPr>
      </w:pPr>
    </w:p>
    <w:sectPr w:rsidR="0010295E" w:rsidRPr="003A5A4E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7E" w:rsidRDefault="000D067E">
      <w:pPr>
        <w:rPr>
          <w:rFonts w:hint="eastAsia"/>
        </w:rPr>
      </w:pPr>
      <w:r>
        <w:separator/>
      </w:r>
    </w:p>
  </w:endnote>
  <w:endnote w:type="continuationSeparator" w:id="0">
    <w:p w:rsidR="000D067E" w:rsidRDefault="000D06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7E" w:rsidRDefault="000D067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D067E" w:rsidRDefault="000D06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91E" w:rsidRPr="003A5A4E" w:rsidRDefault="00CA791E">
    <w:pPr>
      <w:pStyle w:val="lfej"/>
      <w:jc w:val="center"/>
      <w:rPr>
        <w:rFonts w:hint="eastAsia"/>
      </w:rPr>
    </w:pPr>
    <w:r w:rsidRPr="003A5A4E">
      <w:fldChar w:fldCharType="begin"/>
    </w:r>
    <w:r w:rsidRPr="003A5A4E">
      <w:instrText xml:space="preserve"> PAGE </w:instrText>
    </w:r>
    <w:r w:rsidRPr="003A5A4E">
      <w:fldChar w:fldCharType="separate"/>
    </w:r>
    <w:r w:rsidR="00B21102">
      <w:rPr>
        <w:rFonts w:hint="eastAsia"/>
        <w:noProof/>
      </w:rPr>
      <w:t>7</w:t>
    </w:r>
    <w:r w:rsidRPr="003A5A4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1F6"/>
    <w:multiLevelType w:val="multilevel"/>
    <w:tmpl w:val="19E4A3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643F49"/>
    <w:multiLevelType w:val="multilevel"/>
    <w:tmpl w:val="2828F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2873EAB"/>
    <w:multiLevelType w:val="multilevel"/>
    <w:tmpl w:val="F3DE4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177897"/>
    <w:multiLevelType w:val="multilevel"/>
    <w:tmpl w:val="F2FC2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96"/>
    <w:rsid w:val="00044196"/>
    <w:rsid w:val="000D067E"/>
    <w:rsid w:val="0010295E"/>
    <w:rsid w:val="002F14DA"/>
    <w:rsid w:val="003A5A4E"/>
    <w:rsid w:val="005A67BF"/>
    <w:rsid w:val="00857E59"/>
    <w:rsid w:val="00902BEC"/>
    <w:rsid w:val="00B21102"/>
    <w:rsid w:val="00CA3D3D"/>
    <w:rsid w:val="00CA791E"/>
    <w:rsid w:val="00D55E4B"/>
    <w:rsid w:val="00F0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11D8"/>
  <w15:docId w15:val="{5C16F9DF-A5DE-4672-9FE5-862E7D8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fej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ormlWeb">
    <w:name w:val="Normal (Web)"/>
    <w:basedOn w:val="Norml"/>
    <w:uiPriority w:val="99"/>
    <w:unhideWhenUsed/>
    <w:rsid w:val="00902B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hu-HU" w:bidi="ar-SA"/>
    </w:rPr>
  </w:style>
  <w:style w:type="table" w:styleId="Rcsostblzat">
    <w:name w:val="Table Grid"/>
    <w:basedOn w:val="Normltblzat"/>
    <w:uiPriority w:val="39"/>
    <w:rsid w:val="0010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55E4B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5E4B"/>
    <w:rPr>
      <w:rFonts w:ascii="Segoe UI" w:hAnsi="Segoe UI"/>
      <w:sz w:val="18"/>
      <w:szCs w:val="16"/>
    </w:rPr>
  </w:style>
  <w:style w:type="paragraph" w:styleId="llb">
    <w:name w:val="footer"/>
    <w:basedOn w:val="Norml"/>
    <w:link w:val="llbChar"/>
    <w:uiPriority w:val="99"/>
    <w:unhideWhenUsed/>
    <w:rsid w:val="005A67BF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5A67B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2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07A56-DC34-4120-B958-86764983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2385</Words>
  <Characters>16464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Lengyel András</cp:lastModifiedBy>
  <cp:revision>6</cp:revision>
  <cp:lastPrinted>2017-07-28T15:08:00Z</cp:lastPrinted>
  <dcterms:created xsi:type="dcterms:W3CDTF">2017-07-28T10:36:00Z</dcterms:created>
  <dcterms:modified xsi:type="dcterms:W3CDTF">2017-09-15T23:54:00Z</dcterms:modified>
</cp:coreProperties>
</file>